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DE" w:rsidRDefault="00C314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14DE" w:rsidRDefault="00C314DE">
      <w:pPr>
        <w:pStyle w:val="ConsPlusNormal"/>
        <w:ind w:firstLine="540"/>
        <w:jc w:val="both"/>
        <w:outlineLvl w:val="0"/>
      </w:pPr>
    </w:p>
    <w:p w:rsidR="00C314DE" w:rsidRDefault="00C314DE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ПОСТАНОВЛЕНИЕ</w:t>
      </w:r>
    </w:p>
    <w:p w:rsidR="00C314DE" w:rsidRDefault="00C314DE">
      <w:pPr>
        <w:pStyle w:val="ConsPlusTitle"/>
        <w:jc w:val="center"/>
      </w:pPr>
      <w:r>
        <w:t>от 11 мая 2017 г. N 176-п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ОБ УТВЕРЖДЕНИИ ПОРЯДКА СБОРА ТВЕРДЫХ КОММУНАЛЬНЫХ</w:t>
      </w:r>
    </w:p>
    <w:p w:rsidR="00C314DE" w:rsidRDefault="00C314DE">
      <w:pPr>
        <w:pStyle w:val="ConsPlusTitle"/>
        <w:jc w:val="center"/>
      </w:pPr>
      <w:r>
        <w:t>ОТХОДОВ (В ТОМ ЧИСЛЕ ИХ РАЗДЕЛЬНОГО СБОРА)</w:t>
      </w:r>
    </w:p>
    <w:p w:rsidR="00C314DE" w:rsidRDefault="00C314DE">
      <w:pPr>
        <w:pStyle w:val="ConsPlusTitle"/>
        <w:jc w:val="center"/>
      </w:pPr>
      <w:r>
        <w:t>НА ТЕРРИТОРИИ НОВОСИБИРСКОЙ ОБЛАСТИ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6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</w:pPr>
      <w:r>
        <w:t>Губернатор Новосибирской области</w:t>
      </w:r>
    </w:p>
    <w:p w:rsidR="00C314DE" w:rsidRDefault="00C314DE">
      <w:pPr>
        <w:pStyle w:val="ConsPlusNormal"/>
        <w:jc w:val="right"/>
      </w:pPr>
      <w:r>
        <w:t>В.Ф.ГОРОДЕЦКИЙ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  <w:outlineLvl w:val="0"/>
      </w:pPr>
      <w:r>
        <w:t>Утвержден</w:t>
      </w:r>
    </w:p>
    <w:p w:rsidR="00C314DE" w:rsidRDefault="00C314DE">
      <w:pPr>
        <w:pStyle w:val="ConsPlusNormal"/>
        <w:jc w:val="right"/>
      </w:pPr>
      <w:r>
        <w:t>постановлением</w:t>
      </w:r>
    </w:p>
    <w:p w:rsidR="00C314DE" w:rsidRDefault="00C314DE">
      <w:pPr>
        <w:pStyle w:val="ConsPlusNormal"/>
        <w:jc w:val="right"/>
      </w:pPr>
      <w:r>
        <w:t>Правительства Новосибирской области</w:t>
      </w:r>
    </w:p>
    <w:p w:rsidR="00C314DE" w:rsidRDefault="00C314DE">
      <w:pPr>
        <w:pStyle w:val="ConsPlusNormal"/>
        <w:jc w:val="right"/>
      </w:pPr>
      <w:r>
        <w:t>от 11.05.2017 N 176-п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Title"/>
        <w:jc w:val="center"/>
      </w:pPr>
      <w:bookmarkStart w:id="0" w:name="P26"/>
      <w:bookmarkEnd w:id="0"/>
      <w:r>
        <w:t>ПОРЯДОК</w:t>
      </w:r>
    </w:p>
    <w:p w:rsidR="00C314DE" w:rsidRDefault="00C314DE">
      <w:pPr>
        <w:pStyle w:val="ConsPlusTitle"/>
        <w:jc w:val="center"/>
      </w:pPr>
      <w:r>
        <w:t>СБОРА ТВЕРДЫХ КОММУНАЛЬНЫХ ОТХОДОВ (В ТОМ</w:t>
      </w:r>
    </w:p>
    <w:p w:rsidR="00C314DE" w:rsidRDefault="00C314DE">
      <w:pPr>
        <w:pStyle w:val="ConsPlusTitle"/>
        <w:jc w:val="center"/>
      </w:pPr>
      <w:r>
        <w:t>ЧИСЛЕ ИХ РАЗДЕЛЬНОГО СБОРА) НА ТЕРРИТОРИИ</w:t>
      </w:r>
    </w:p>
    <w:p w:rsidR="00C314DE" w:rsidRDefault="00C314DE">
      <w:pPr>
        <w:pStyle w:val="ConsPlusTitle"/>
        <w:jc w:val="center"/>
      </w:pPr>
      <w:r>
        <w:t>НОВОСИБИРСКОЙ ОБЛАСТИ (ДАЛЕЕ - ПОРЯДОК)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I. Общие положения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1. Настоящий Порядок устанавливает требования к организации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термины и определения: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потребитель - собственник твердых коммунальных отходов (далее - ТКО) или уполномоченное им лицо, заключившее или обязанное заключить с региональным оператором договор на оказание услуг по обращению с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контейнер - мусоросборник, предназначенный для складирования ТКО, за исключением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контейнерная площадка - место накопления ТКО, обустроенное в соответствии с </w:t>
      </w:r>
      <w:r>
        <w:lastRenderedPageBreak/>
        <w:t>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бункер - мусоросборник, предназначенный для складирования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крупногабаритные отходы (далее - КГО) - ТКО (мебель, бытовая техника, отходы от текущего ремонта жилых помещений и другое), размер которых не позволяет осуществить их складирование в контейнерах;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мусоровоз - транспортное средство категории N, используемое для перевозки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отходы электронного оборудования - отходы в соответствии с федеральным классификационным </w:t>
      </w:r>
      <w:hyperlink r:id="rId7" w:history="1">
        <w:r>
          <w:rPr>
            <w:color w:val="0000FF"/>
          </w:rPr>
          <w:t>каталогом</w:t>
        </w:r>
      </w:hyperlink>
      <w:r>
        <w:t xml:space="preserve"> отходов, утвержденным приказом Росприроднадзора от 18.07.2014 N 445 "Об утверждении федерального классификационного каталога отходов", классифицируемые как оборудование компьютерное, электронное, оптическое, утратившее свои потребительские свойства.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Другие используемые в настоящем Порядке понятия употребляются в значениях, определенных действующим законодательством, в том числе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II. Общие требования к сбору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3. Территории населенных пунктов Новосибирской области подлежат регулярной очистке от отходов в соответствии с территориальной </w:t>
      </w:r>
      <w:hyperlink r:id="rId10" w:history="1">
        <w:r>
          <w:rPr>
            <w:color w:val="0000FF"/>
          </w:rPr>
          <w:t>схемой</w:t>
        </w:r>
      </w:hyperlink>
      <w:r>
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Новосибирской области от 26.09.2016 N 292-п "Об утверждении территориальной схемы обращения с отходами, в том числе с твердыми коммунальными отходами, Новосибирской области" (далее - территориальная схема), и требованиями экологического 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4. Региональный оператор по обращению с ТКО в Новосибирской области (далее - региональный оператор), операторы по обращению с ТКО и потребители обязаны выполнять требования настоящего Порядка, при сборе отходов не осуществлять действия, влекущие за собой нарушение прав других лиц на охрану здоровья и благоприятную окружающую среду.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5. Потребители осуществляют раздельный сбор ТКО в населенных пунктах Новосибирской области, что обеспечивается установкой в местах сбора отходов контейнеров для раздельного сбора, в соответствии с согласованным министерством жилищно-коммунального хозяйства и энергетики Новосибирской области (далее - министерство)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6. На территории Новосибирской области запрещено: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несанкционированное складирование и (или) размещение всех видов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2) осуществлять накопление и сбор ТКО вне установленных мест накопления и сбора ТКО, определенных договором на оказание услуг по обращению с ТКО, в соответствии с территориальной </w:t>
      </w:r>
      <w:hyperlink r:id="rId11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7. Контроль за деятельностью участников сбора ТКО (потребителей и операторов по обращению с ТКО) осуществляет региональный оператор.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lastRenderedPageBreak/>
        <w:t>III.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8. Сбор ТКО осуществляется в местах сбора и накопления ТКО, определенных договором на оказание услуг по обращению с ТКО, в соответствии с территориальной </w:t>
      </w:r>
      <w:hyperlink r:id="rId12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9. Прием ТКО осуществляется следующими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приема в мусоропровод и мусороприемную камеру, расположенные в многоквартирных домах (при наличии соответствующей внутридомовой инженерной системы);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приема в контейнеры,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3) приема в пакетах или других предназначенных для их сбора емкостях, без использования дополнительных устройств для предварительного сбора;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4) приема путем их мобильного сбора от населения.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10. В случае необходимости изменения места сбора и накопления ТКО или определения вновь образованного места процедура его согласования проводится с участием регионального оператора, для чего потребитель или его уполномоченный представитель направляет региональному оператору соответствующее письменное заявление и схему планируемого положения места сбора и накопления ТКО, а региональный оператор в течение трех рабочих дней со дня получения такого заявления рассматривает его и готовит заключение о соответствии (несоответствии) выбранного положения места сбора и накопления ТКО требованиям действующего законодательства и техническим возможностям (условиям) регионального оператора или оператора, оказывающего услуги по сбору и транспортированию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11. Информация об изменении или образовании места сбора и накопления ТКО направляется региональным оператором в министерство для включения в территориальную </w:t>
      </w:r>
      <w:hyperlink r:id="rId13" w:history="1">
        <w:r>
          <w:rPr>
            <w:color w:val="0000FF"/>
          </w:rPr>
          <w:t>схему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12. Запрещается сбор в контейнеры для ТКО отходов, не относящихся к ТКО.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1" w:name="P66"/>
      <w:bookmarkEnd w:id="1"/>
      <w:r>
        <w:t>IV. Раздельный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13. Раздельный сбор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 либо их передачу в пункты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14. Организация раздельного сбора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специальных контейнеров для селективного сбора бумаги, стекла, пластика, металла в жилых кварталах;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контейнеров для утильных фракций (бумага, стекло, пластик и пр.) и стандартных контейнеров для ТКО (с пищевой составляющей) на специально отведенных местах;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создание пунктов приема вторичного сырья или организация площадок раздельного сбора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организация передвижных пунктов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15. Раздельный сбор ТКО организуют потребители, операторы по обращению с ТКО, осуществляющие деятельность по сбору и транспортированию ТКО, региональный оператор в соответствии с настоящим Порядком и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16. Раздельный сбор ТКО на территории Новосибирской области внедряется поэтапно в соответствии с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 целях реализации плана внедрения системы раздельного сбора ТКО региональный оператор письменно не позднее чем за 15 календарных дней до даты планируемого начала внедрения раздельного сбора ТКО извещает потребителя о необходимости разделения ТКО по видам отходов и складирования сортированных ТКО в отдельных контейнерах для соответствующих видов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Осуществление такого разделения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17. План внедрения системы раздельного сбора ТКО на территории Новосибирской области ежегодно разрабатывается региональным оператором (самостоятельно или с привлечением сторонних организаций) и должен включать соответствующие мероприятия, предусмотренные территориальной </w:t>
      </w:r>
      <w:hyperlink r:id="rId14" w:history="1">
        <w:r>
          <w:rPr>
            <w:color w:val="0000FF"/>
          </w:rPr>
          <w:t>схемой</w:t>
        </w:r>
      </w:hyperlink>
      <w:r>
        <w:t xml:space="preserve"> и государственной </w:t>
      </w:r>
      <w:hyperlink r:id="rId15" w:history="1">
        <w:r>
          <w:rPr>
            <w:color w:val="0000FF"/>
          </w:rPr>
          <w:t>программой</w:t>
        </w:r>
      </w:hyperlink>
      <w:r>
        <w:t xml:space="preserve"> Новосибирской области "Развитие системы обращения с отходами производства и потребления в Новосибирской области в 2015 - 2020 годах", утвержденной постановлением Правительства Новосибирской области от 19.01.2015 N 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 в 2015 - 2020 годах" (далее - региональная программа), иные мероприятия, планируемые сроки их исполнения, а также требования к маркировке контейнеров для раздельного сбора ТКО. Обязанность по своевременной и полной реализации мероприятий вышеуказанного плана возлагается на регионального оператора.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18. План внедрения системы раздельного сбора ТКО на территории Новосибирской области ежегодно после согласования с министерством утверждается региональным оператором не позднее декабря месяца года, предшествующего планируемому периоду. Внедрение системы раздельного сбора ТКО на территории Новосибирской области может осуществляться с участием операторов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19. При раздельном сборе ТКО выделяются: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виды отходов, захоронение которых запрещается и перечень которых определяется Правительством Российской Федерации;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отходы, которые представлены биоразлагаемыми материалами: от упаковки, готовых товаров (продукции), после утраты потребительских свойств,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Кроме того, могут дополнительно выделяться отдельные виды подлежащих утилизации отходов, образующиеся в быту после утраты потребительских свойств готовых товаров (включая упаковку),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20. Контейнеры для раздельного сбора ТКО должны иметь текстовое и (или) графическое обозначение видов собираемых отходов. При необходимости допускается использование дополнительных характеристик обозначений (отличной формы, дизайна).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21. Контейнеры заполняются ТКО до линии верхней кромки (уровня, позволяющего свободно закрыть крышку контейнера).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22. В случае если контейнер с ТКО, подлежащими утилизации, содержит несортированные ТКО, оператор по обращению с ТКО, осуществляющий деятельность по сбору и транспортированию ТКО, осуществляет транспортирование таких отходов вместе с несортированными ТКО, уведомив </w:t>
      </w:r>
      <w:r>
        <w:lastRenderedPageBreak/>
        <w:t>регионального оператора не позднее чем на следующий день после дня транспортирования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23. Контейнеры для раздельного сбора ТКО размещаются в местах сбора и накопления ТКО, определенных территориальной </w:t>
      </w:r>
      <w:hyperlink r:id="rId16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24. Вывоз раздельно собранных ТКО осуществляется по договору на оказание услуг по обращению с ТКО, заключенному потребителем с региональным оператором, или по договору с организацией, осуществляющей утилизацию вторичных материальных ресурсов, заключенному на условиях, соответствующих требованиям действующего законодательства.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При погрузке раздельно собранных ТКО обеспечиваются условия, при которых раздельно собранные компоненты ТКО не смешиваются с иными видами отходов.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25. Не допускается смешивание раздельно собранных компонентов ТКО, являющихся вторичными материальными ресурсами, и их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V. Сбор КГО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bookmarkStart w:id="2" w:name="P94"/>
      <w:bookmarkEnd w:id="2"/>
      <w:r>
        <w:t>26. Складирование КГО осуществляются потребителями в местах сбора и накопления ТКО: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в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на специальных площадках для складирования КГО.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27. Вывоз КГО осуществляется по мере их накопления или по заявкам потребителей, направляемым письменно, посредством электронной почты или телефонной связи по контактам регионального оператора, указанным в договоре оказания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28. Время вывоза КГО региональным оператором или оператором по обращению с ТКО не может превышать 5 рабочих дней с даты поступления заявки.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3" w:name="P99"/>
      <w:bookmarkEnd w:id="3"/>
      <w:r>
        <w:t>29. КГО должны находиться в виде, не создающем угроз для жизни и здоровья людей,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целости и технической исправности мусоровозов.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VI. Сбор отходов электронного оборудования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30. Сбор отходов электронного оборудования осуществляется: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1) по заявкам потребителей;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2) предприятиями розничной торговли, осуществляющими продажу электронного оборудования;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3) с использованием специальных площадок для накопления отходов электронного оборудования.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31. Создание и содержание специальных площадок для складирования отходов электронного оборудования осуществляется в порядке, определенном </w:t>
      </w:r>
      <w:hyperlink w:anchor="P167" w:history="1">
        <w:r>
          <w:rPr>
            <w:color w:val="0000FF"/>
          </w:rPr>
          <w:t>разделом XIII</w:t>
        </w:r>
      </w:hyperlink>
      <w:r>
        <w:t xml:space="preserve"> настоящего Порядка, в соответствии с территориальной </w:t>
      </w:r>
      <w:hyperlink r:id="rId17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32. Транспортирование отходов электронного оборудования с мест, определенных </w:t>
      </w:r>
      <w:hyperlink w:anchor="P104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105" w:history="1">
        <w:r>
          <w:rPr>
            <w:color w:val="0000FF"/>
          </w:rPr>
          <w:t>2 пункта 30</w:t>
        </w:r>
      </w:hyperlink>
      <w:r>
        <w:t xml:space="preserve"> настоящего Порядка, с последующей их обработкой и (или) утилизацией организуется региональным оператором в соответствии с территориальной </w:t>
      </w:r>
      <w:hyperlink r:id="rId18" w:history="1">
        <w:r>
          <w:rPr>
            <w:color w:val="0000FF"/>
          </w:rPr>
          <w:t>схемой</w:t>
        </w:r>
      </w:hyperlink>
      <w:r>
        <w:t xml:space="preserve"> и региональной </w:t>
      </w:r>
      <w:hyperlink r:id="rId19" w:history="1">
        <w:r>
          <w:rPr>
            <w:color w:val="0000FF"/>
          </w:rPr>
          <w:t>программой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 xml:space="preserve">33. Транспортирование отходов электронного оборудования лицами, указанными в </w:t>
      </w:r>
      <w:hyperlink w:anchor="P106" w:history="1">
        <w:r>
          <w:rPr>
            <w:color w:val="0000FF"/>
          </w:rPr>
          <w:t>подпункте 3 пункта 30</w:t>
        </w:r>
      </w:hyperlink>
      <w:r>
        <w:t xml:space="preserve"> настоящего Порядка, или привлекаемыми ими на договорной основе юридическими лицами или индивидуальными предпринимателями осуществляется при наличии соответствующей лицензии.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34. Запрещается складировать отходы электронного оборудования в контейнерах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35. Собранные отходы электронного оборудования передаются организациям, осуществляющим извлечение компонентов, для передачи извлеченных компонентов на утилизацию, обезвреживание,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VII. Сбор ртутьсодержащих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36. Сбор и накопление ртутьсодержащих отходов должны выполняться методами, исключающими их бой и разгерметизацию.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37. Потребители осуществляют накопление ртутьсодержащих отходов отдельно от других видов отходов в неповрежденной штатной упаковке или в другой таре, обеспечивающей их сохранность при хранении.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38. Обращение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должно осуществляться в соответствии с требованиями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39. Потребители по мере накопления сдают ртутьсодержащие отходы на утилизацию или обезвреживание юридическим лицам или индивидуальным предпринимателям, имеющим лицензии на осуществление соответствующей деятельности, или осуществляют обращение с ними в соответствии с требованиями, предусмотренными </w:t>
      </w:r>
      <w:hyperlink w:anchor="P66" w:history="1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VIII. Сбор уличного мусора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40. Сбор и транспортирование отходов от уборки улиц и содержания территории осуществляют организации, обеспечивающие благоустройство и содержание соответствующей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41. Накопление уличного мусора и смета на придомовой территории осуществляется с использованием контейнеров, предназначенных для сбора ТКО, полиэтиленовых мешков. Крупногабаритные отходы озеленения и благоустройства, в том числе порубочные остатки, собираются, складируются, накапливаются, транспортируются отдельно от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42. Места расположения контейнеров для сбора уличного мусора, уличных урн определяются в соответствии с правилами благоустройства территории соответствующих муниципальных образований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43. Удаление отходов от зимней уборки улиц (снеговые массы) осуществляется путем: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использования станций снеготаяния;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2) размещения данных видов отходов на специальных площадках, расположение которых </w:t>
      </w:r>
      <w:r>
        <w:lastRenderedPageBreak/>
        <w:t>определяется органами местного самоуправления муниципальных образований Новосибирской области.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IX. Сбор отходов от использования товаров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44. Производители, импортеры товаров обеспечивают сбор отходов от использования этих товаров самостоятельно путем организации собственных объектов инфраструктуры по сбору, обработке, утилизации отходов от использования таких товаров или путем заключения договоров с оператором по обращению с ТКО, региональным оператором,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ТКО). Самостоятельное обеспечение выполнения нормативов утилизации может осуществляться путем создания ассоциации (союза) производителей, импортеров товаров (далее - ассоциация).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45. Производители, импортеры товаров, их ассоциации вправе использовать стационарные и мобильные пункты приема отходов, использовать отдельные контейнеры для сбора потребительских товаров и упаковки, подлежащих утилизации, расположенные на контейнерных площадках, по согласованию с правообладателями территории, на которой они размещаются, а также по согласованию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46. Отходы от использования потребительских товаров и упаковки, утративших свои потребительские свойства, подлежат утилизации.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X. Сбор ТКО в садоводческих, огороднических и</w:t>
      </w:r>
    </w:p>
    <w:p w:rsidR="00C314DE" w:rsidRDefault="00C314DE">
      <w:pPr>
        <w:pStyle w:val="ConsPlusNormal"/>
        <w:jc w:val="center"/>
      </w:pPr>
      <w:r>
        <w:t>дачных некоммерческих объединениях граждан,</w:t>
      </w:r>
    </w:p>
    <w:p w:rsidR="00C314DE" w:rsidRDefault="00C314DE">
      <w:pPr>
        <w:pStyle w:val="ConsPlusNormal"/>
        <w:jc w:val="center"/>
      </w:pPr>
      <w:r>
        <w:t>гаражно-строительных кооперативах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47. Сбор ТКО, образующихся в садоводческих, огороднических и дачных некоммерческих объединениях граждан, гаражно-строительных кооперативах, осуществляется на площадках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48. Сбор КГО осуществляется в соответствии с </w:t>
      </w:r>
      <w:hyperlink w:anchor="P94" w:history="1">
        <w:r>
          <w:rPr>
            <w:color w:val="0000FF"/>
          </w:rPr>
          <w:t>пунктами 26</w:t>
        </w:r>
      </w:hyperlink>
      <w:r>
        <w:t xml:space="preserve"> - </w:t>
      </w:r>
      <w:hyperlink w:anchor="P99" w:history="1">
        <w:r>
          <w:rPr>
            <w:color w:val="0000FF"/>
          </w:rPr>
          <w:t>29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49. Размещение площадок производится с соблюдением экологических и санитарных норм и правил.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50. Обязанность по строительству, ремонту и содержанию площадок для сбора ТКО, организация сбора и транспортирования ТКО, образующихся в садоводческих, огороднических и дачных некоммерческих объединениях граждан, гаражно-строительных кооперативах, возлагается на органы управления садоводческих, огороднических и дачных некоммерческих объединений граждан, гаражно-строительных кооперативов.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51. Договоры на оказание услуг по обращению с ТКО в садоводческих, огороднических и дачных некоммерческих объединениях граждан, гаражно-строительных кооперативах заключаются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52. Отработанные горюче-смазочные материалы, автошины, аккумуляторы, иные токсичные отходы, металлолом собираются и накапливаются отдельно от ТКО и по мере накопления передаются для утилизации юридическим лицам или индивидуальным предпринимателям, имеющим лицензию на осуществление данного вида деятельности, с оформлением подтверждающей документации (акты приема-передачи, справки и т.п.).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XI. Мобильный сбор ТКО от населения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53. Сбор ТКО от потребителей непосредственно осуществляется по маршрутному графику и </w:t>
      </w:r>
      <w:r>
        <w:lastRenderedPageBreak/>
        <w:t>по заявкам потребителей.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54. При сборе ТКО по маршрутному графику региональный оператор определяет места сбора и накопления, а также периодичность вывоза ТКО, которые указываются в договоре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55. При сборе ТКО по заявкам потребителей данная услуга должна быть обеспечена региональным оператором в сроки, установленные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56. ТКО передаются оператору по сбору и транспортированию в пакетах или других предназначенных для их сбора емкостях.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XII. Контейнеры для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57. Для сбора ТКО используются контейнеры следующего объема накапливаемых в них отходов: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 дм</w:t>
      </w:r>
      <w:r>
        <w:rPr>
          <w:vertAlign w:val="superscript"/>
        </w:rPr>
        <w:t>3</w:t>
      </w:r>
      <w:r>
        <w:t>, 80 дм</w:t>
      </w:r>
      <w:r>
        <w:rPr>
          <w:vertAlign w:val="superscript"/>
        </w:rPr>
        <w:t>3</w:t>
      </w:r>
      <w:r>
        <w:t>, 120 дм</w:t>
      </w:r>
      <w:r>
        <w:rPr>
          <w:vertAlign w:val="superscript"/>
        </w:rPr>
        <w:t>3</w:t>
      </w:r>
      <w:r>
        <w:t>, 240 дм</w:t>
      </w:r>
      <w:r>
        <w:rPr>
          <w:vertAlign w:val="superscript"/>
        </w:rPr>
        <w:t>3</w:t>
      </w:r>
      <w:r>
        <w:t>, 770 дм</w:t>
      </w:r>
      <w:r>
        <w:rPr>
          <w:vertAlign w:val="superscript"/>
        </w:rPr>
        <w:t>3</w:t>
      </w:r>
      <w:r>
        <w:t>, 1100 дм</w:t>
      </w:r>
      <w:r>
        <w:rPr>
          <w:vertAlign w:val="superscript"/>
        </w:rPr>
        <w:t>3</w:t>
      </w:r>
      <w:r>
        <w:t>, 8000 дм</w:t>
      </w:r>
      <w:r>
        <w:rPr>
          <w:vertAlign w:val="superscript"/>
        </w:rPr>
        <w:t>3</w:t>
      </w:r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58. По согласованию с региональным оператором допускается использование контейнеров, имеющих объем, отличный от вышеуказанного, с учетом их места расположения и действующих в муниципальном образовании норм благоустройства.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59. Необходимое количество контейнеров на контейнерной площадке и их вместимость определяются исходя из численности жителей, проживающих в многоквартирных и жилых домах, и установленных нормативов накопления ТКО с учетом соблюдения санитарно-эпидемиологических требований.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60. Уменьшение количества и (или) объема контейнеров, используемых для сбора и (или) накопления несортированных отходов, допускается в пределах объема раздельно собираемых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61. Количество и объем контейнеров, необходимых для накопления ТКО,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62. Контейнеры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 Контейнеры должны быть промаркированы с указанием их собственника.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63. Контейнер может заполняться отходами только до объема, не превышающего верхней кромки контейнера. Прессование и уплотнение ТКО в контейнере не допускается.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64. 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65. Потребителям запрещается складировать ТКО вне контейнеров или в контейнеры, не </w:t>
      </w:r>
      <w:r>
        <w:lastRenderedPageBreak/>
        <w:t>предназначенные для таких видов отходов, за исключением случаев, установленных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66. Периодичность и порядок вывоза ТКО определяется договором на оказание услуг по обращению с ТКО, заключаемым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а в случае отсутствия договора на оказание услуг по обращению с ТКО - в соответствии с требованиями действующего законодательства.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7" w:name="P167"/>
      <w:bookmarkEnd w:id="7"/>
      <w:r>
        <w:t>XIII. Контейнерные площадки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67. Расположение контейнерных площадок и специальных площадок для складирования КГО определяется региональным оператором по согласованию с собственником земельного участка, на котором расположены такие контейнерные площадки.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68. Региональный оператор несет ответственность за обращение с ТКО с момента погрузки таких отходов в мусоровоз в местах сбора и накопления ТКО. При этом бремя содержания контейнерных площадок, специальных площадок для складирования КГО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69. Контейнерная площадка должна быть оборудована в соответствии с требованиями действующего законодательства, в том числе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Госстроя Российской Федерации от 27.09.2003 N 170, </w:t>
      </w:r>
      <w:hyperlink r:id="rId24" w:history="1">
        <w:r>
          <w:rPr>
            <w:color w:val="0000FF"/>
          </w:rPr>
          <w:t>СанПиН 42-128-4690-88</w:t>
        </w:r>
      </w:hyperlink>
      <w:r>
        <w:t>, санитарными правилами содержания территорий населенных мест, утвержденными Главным государственным санитарным врачом СССР 05.08.1988 N 4690-88, и правилами благоустройства территории соответствующего населенного пункта.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70. На контейнерной площадке должна быть размещена информация с указанием контактов организации, осуществляющей сбор и транспортирование ТКО, и графика вывоза ТКО. Дополнительно на контейнерной площадке, обслуживающей один или несколько жилых домов, должна быть размещена информация об адресах обслуживаемых домов, а на контейнерной площадке, обслуживающей юридических лиц и (или) индивидуальных предпринимателей, также указывается сокращенное наименование юридического лица, фамилия индивидуального предпринимателя.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71. Контейнерная площадка должна регулярно подвергаться санитарной уборке в соответствии с требованиями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72. Подъездные пути к контейнерной площадке должны быть освещены и быть пригодными для свободного проезда и маневрирования транспортных средств, в том числе исключающего движение задним ходом в жилых зонах и на придомовых территориях.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73. Доступ регионального оператора или оператора по обращению с ТКО, осуществляющего деятельность по сбору и транспортированию ТКО к контейнерной площадке, расположенной на территории, входящей в состав общего имущества многоквартирного жилого дома, въезд на которую ограничен, обеспечивается организацией, осуществляющей управление данным </w:t>
      </w:r>
      <w:r>
        <w:lastRenderedPageBreak/>
        <w:t>многоквартирным жилым домом.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XIV. Несанкционированное размещение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74. Ответственность за своевременное транспортирование бесхозяйных отходов возлагается на собственников (арендаторов) земельных участков, на которых размещены данные отходы.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75. Размещение и накопление отходов вне санкционированных мест сбора и накопления отходов соответствующего вида запрещено.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76. Собственник земельного участка, на котором размещены отходы с нарушением экологических требований, санитарных норм и правил, а также требований настоящего Порядка, несет ответственность в соответствии с законодательством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77. В случае обнаружения региональным оператором места складирования ТКО, объем которых превышает 1 куб. метр, на земельном участке, не предназначенном для этих целей и не указанном в соглашении об организации деятельности по обращению с ТКО на территории Новосибирской области, заключенном с министерством (далее - место несанкционированного размещения ТКО), региональный оператор обязан в течение 5 рабочих дней: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78.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ТКО. В этом случае региональный оператор вправе обратиться в суд с требованием о взыскании понесенных расходов.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79.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80. Учет несанкционированных мест размещения отходов на территориях общего пользования ведется региональным оператором.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8" w:name="_GoBack"/>
      <w:bookmarkEnd w:id="8"/>
    </w:p>
    <w:sectPr w:rsidR="00307139" w:rsidSect="00CF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DE"/>
    <w:rsid w:val="00142CAF"/>
    <w:rsid w:val="001723FB"/>
    <w:rsid w:val="00307139"/>
    <w:rsid w:val="00474B64"/>
    <w:rsid w:val="00475860"/>
    <w:rsid w:val="00525F3A"/>
    <w:rsid w:val="005310B2"/>
    <w:rsid w:val="00547AAF"/>
    <w:rsid w:val="00765F27"/>
    <w:rsid w:val="009A25F5"/>
    <w:rsid w:val="00C314DE"/>
    <w:rsid w:val="00C476E7"/>
    <w:rsid w:val="00C72419"/>
    <w:rsid w:val="00E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D9C31-D17E-4AEA-B143-75E21738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4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01FDC6A359CB8A13BB98406B9952FFD224D61DC7968BEA8EE6F8B10eAc8D" TargetMode="External"/><Relationship Id="rId13" Type="http://schemas.openxmlformats.org/officeDocument/2006/relationships/hyperlink" Target="consultantplus://offline/ref=4F501FDC6A359CB8A13BA78910D5CB26F621176FD67764E8F5B134D647A106352FA523EA7E7958D1098154e0cDD" TargetMode="External"/><Relationship Id="rId18" Type="http://schemas.openxmlformats.org/officeDocument/2006/relationships/hyperlink" Target="consultantplus://offline/ref=4F501FDC6A359CB8A13BA78910D5CB26F621176FD67764E8F5B134D647A106352FA523EA7E7958D1098154e0cD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501FDC6A359CB8A13BB98406B9952FFD234D65DE7B68BEA8EE6F8B10A80C6268EA7AA83A7459D2e0c8D" TargetMode="External"/><Relationship Id="rId7" Type="http://schemas.openxmlformats.org/officeDocument/2006/relationships/hyperlink" Target="consultantplus://offline/ref=4F501FDC6A359CB8A13BB98406B9952FFD2A4C60DB7C68BEA8EE6F8B10A80C6268EA7AA83A7459D0e0c8D" TargetMode="External"/><Relationship Id="rId12" Type="http://schemas.openxmlformats.org/officeDocument/2006/relationships/hyperlink" Target="consultantplus://offline/ref=4F501FDC6A359CB8A13BA78910D5CB26F621176FD67764E8F5B134D647A106352FA523EA7E7958D1098154e0cDD" TargetMode="External"/><Relationship Id="rId17" Type="http://schemas.openxmlformats.org/officeDocument/2006/relationships/hyperlink" Target="consultantplus://offline/ref=4F501FDC6A359CB8A13BA78910D5CB26F621176FD67764E8F5B134D647A106352FA523EA7E7958D1098154e0cD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501FDC6A359CB8A13BA78910D5CB26F621176FD67764E8F5B134D647A106352FA523EA7E7958D1098154e0cDD" TargetMode="External"/><Relationship Id="rId20" Type="http://schemas.openxmlformats.org/officeDocument/2006/relationships/hyperlink" Target="consultantplus://offline/ref=4F501FDC6A359CB8A13BB98406B9952FFE2F4B65DB7668BEA8EE6F8B10eAc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01FDC6A359CB8A13BA78910D5CB26F621176FDE7E63EEF0B869DC4FF80A3728AA7CFD793054D009815405e4c6D" TargetMode="External"/><Relationship Id="rId11" Type="http://schemas.openxmlformats.org/officeDocument/2006/relationships/hyperlink" Target="consultantplus://offline/ref=4F501FDC6A359CB8A13BA78910D5CB26F621176FD67764E8F5B134D647A106352FA523EA7E7958D1098154e0cDD" TargetMode="External"/><Relationship Id="rId24" Type="http://schemas.openxmlformats.org/officeDocument/2006/relationships/hyperlink" Target="consultantplus://offline/ref=4F501FDC6A359CB8A13BB98406B9952FFE2A486AD67F68BEA8EE6F8B10eAc8D" TargetMode="External"/><Relationship Id="rId5" Type="http://schemas.openxmlformats.org/officeDocument/2006/relationships/hyperlink" Target="consultantplus://offline/ref=4F501FDC6A359CB8A13BB98406B9952FFD224D61DC7968BEA8EE6F8B10A80C6268EA7AAA38e7c7D" TargetMode="External"/><Relationship Id="rId15" Type="http://schemas.openxmlformats.org/officeDocument/2006/relationships/hyperlink" Target="consultantplus://offline/ref=4F501FDC6A359CB8A13BA78910D5CB26F621176FDE7E63E1F7BC69DC4FF80A3728AA7CFD793054D009815406e4cDD" TargetMode="External"/><Relationship Id="rId23" Type="http://schemas.openxmlformats.org/officeDocument/2006/relationships/hyperlink" Target="consultantplus://offline/ref=4F501FDC6A359CB8A13BB98406B9952FFB2E4E65DD7435B4A0B7638917A753756FA376A93A7458eDc3D" TargetMode="External"/><Relationship Id="rId10" Type="http://schemas.openxmlformats.org/officeDocument/2006/relationships/hyperlink" Target="consultantplus://offline/ref=4F501FDC6A359CB8A13BA78910D5CB26F621176FD67764E8F5B134D647A106352FA523EA7E7958D1098154e0cDD" TargetMode="External"/><Relationship Id="rId19" Type="http://schemas.openxmlformats.org/officeDocument/2006/relationships/hyperlink" Target="consultantplus://offline/ref=4F501FDC6A359CB8A13BA78910D5CB26F621176FDE7E63E1F7BC69DC4FF80A3728AA7CFD793054D009815406e4c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501FDC6A359CB8A13BB98406B9952FFD2A4E63DE7768BEA8EE6F8B10eAc8D" TargetMode="External"/><Relationship Id="rId14" Type="http://schemas.openxmlformats.org/officeDocument/2006/relationships/hyperlink" Target="consultantplus://offline/ref=4F501FDC6A359CB8A13BA78910D5CB26F621176FD67764E8F5B134D647A106352FA523EA7E7958D1098154e0cDD" TargetMode="External"/><Relationship Id="rId22" Type="http://schemas.openxmlformats.org/officeDocument/2006/relationships/hyperlink" Target="consultantplus://offline/ref=4F501FDC6A359CB8A13BB98406B9952FFD2A4E63DE7768BEA8EE6F8B10eAc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4639</Words>
  <Characters>26443</Characters>
  <Application>Microsoft Office Word</Application>
  <DocSecurity>0</DocSecurity>
  <Lines>220</Lines>
  <Paragraphs>62</Paragraphs>
  <ScaleCrop>false</ScaleCrop>
  <Company>NSO</Company>
  <LinksUpToDate>false</LinksUpToDate>
  <CharactersWithSpaces>31020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Петровна</dc:creator>
  <cp:keywords/>
  <dc:description/>
  <cp:lastModifiedBy>Смирнова Анна Петровна</cp:lastModifiedBy>
  <cp:revision>1</cp:revision>
  <dcterms:created xsi:type="dcterms:W3CDTF">2018-07-24T03:28:00Z</dcterms:created>
  <dcterms:modified xsi:type="dcterms:W3CDTF">2018-07-24T03:28:00Z</dcterms:modified>
</cp:coreProperties>
</file>